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A23" w:rsidRDefault="00D4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86A23" w:rsidRDefault="00D4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инвестиционной программе </w:t>
      </w:r>
    </w:p>
    <w:p w:rsidR="00A86A23" w:rsidRDefault="00D4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филиала «Росатом Энергосбыт» Смоленск</w:t>
      </w:r>
    </w:p>
    <w:p w:rsidR="00A86A23" w:rsidRDefault="00D4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2649D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2649D9">
        <w:rPr>
          <w:rFonts w:ascii="Times New Roman" w:hAnsi="Times New Roman" w:cs="Times New Roman"/>
          <w:b/>
          <w:sz w:val="28"/>
          <w:szCs w:val="28"/>
        </w:rPr>
        <w:t>9</w:t>
      </w:r>
      <w:r w:rsidR="000E31AD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A23" w:rsidRDefault="00A86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A23" w:rsidRDefault="00D42365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4"/>
        </w:rPr>
        <w:t>. Общая характеристика инвестиционной программы</w:t>
      </w:r>
    </w:p>
    <w:p w:rsidR="00A86A23" w:rsidRDefault="00D42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Инвестиционная программа филиала «Росатом Энергосбыт» Смоленск сформирована исходя из требований обеспечения высокого уровня обслуживания потребителей, выполнения требований нормативных документов в сфере электроэнергетики. </w:t>
      </w: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инвестиционной программе предусмотрены мероприятия для выполнения требований Федерального закона от 26.03.2003г. № 35-ФЗ «Об электроэнергетике», в редакции Федерального закона от 27.12.2018г. № 522-ФЗ «О внесении изменений в отдельные законодательные акты РФ в связи с развитием систем учета электрической энергии (мощности) в РФ», согласно которым на гарантирующего поставщика возложена обязанность по обеспечению коммерческого учета электрической энергии (мощности) на розничных рынках посредством интеллектуальных систем учета в многоквартирных домах. </w:t>
      </w:r>
    </w:p>
    <w:p w:rsidR="00A86A23" w:rsidRDefault="00A86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Общая стоимость финансирования по инвестиционной программе на 202</w:t>
      </w:r>
      <w:r w:rsidR="002649D9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>-202</w:t>
      </w:r>
      <w:r w:rsidR="002649D9">
        <w:rPr>
          <w:rFonts w:ascii="Times New Roman" w:hAnsi="Times New Roman" w:cs="Times New Roman"/>
          <w:sz w:val="28"/>
          <w:szCs w:val="24"/>
        </w:rPr>
        <w:t>9</w:t>
      </w:r>
      <w:r>
        <w:rPr>
          <w:rFonts w:ascii="Times New Roman" w:hAnsi="Times New Roman" w:cs="Times New Roman"/>
          <w:sz w:val="28"/>
          <w:szCs w:val="24"/>
        </w:rPr>
        <w:t>г. составляет 1</w:t>
      </w:r>
      <w:r w:rsidR="002649D9">
        <w:rPr>
          <w:rFonts w:ascii="Times New Roman" w:hAnsi="Times New Roman" w:cs="Times New Roman"/>
          <w:sz w:val="28"/>
          <w:szCs w:val="24"/>
        </w:rPr>
        <w:t> 361,08</w:t>
      </w:r>
      <w:r>
        <w:rPr>
          <w:rFonts w:ascii="Times New Roman" w:hAnsi="Times New Roman" w:cs="Times New Roman"/>
          <w:sz w:val="28"/>
          <w:szCs w:val="24"/>
        </w:rPr>
        <w:t xml:space="preserve"> млн руб. с НДС, в т. ч. по периодам: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2649D9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>г. – 2</w:t>
      </w:r>
      <w:r w:rsidR="002649D9">
        <w:rPr>
          <w:rFonts w:ascii="Times New Roman" w:hAnsi="Times New Roman" w:cs="Times New Roman"/>
          <w:sz w:val="28"/>
          <w:szCs w:val="24"/>
        </w:rPr>
        <w:t>83,08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2649D9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г. – </w:t>
      </w:r>
      <w:r w:rsidR="002649D9">
        <w:rPr>
          <w:rFonts w:ascii="Times New Roman" w:hAnsi="Times New Roman" w:cs="Times New Roman"/>
          <w:sz w:val="28"/>
          <w:szCs w:val="24"/>
        </w:rPr>
        <w:t>328,22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2649D9">
        <w:rPr>
          <w:rFonts w:ascii="Times New Roman" w:hAnsi="Times New Roman" w:cs="Times New Roman"/>
          <w:sz w:val="28"/>
          <w:szCs w:val="24"/>
        </w:rPr>
        <w:t>8г. – 358,41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2649D9">
        <w:rPr>
          <w:rFonts w:ascii="Times New Roman" w:hAnsi="Times New Roman" w:cs="Times New Roman"/>
          <w:sz w:val="28"/>
          <w:szCs w:val="24"/>
        </w:rPr>
        <w:t>9</w:t>
      </w:r>
      <w:r>
        <w:rPr>
          <w:rFonts w:ascii="Times New Roman" w:hAnsi="Times New Roman" w:cs="Times New Roman"/>
          <w:sz w:val="28"/>
          <w:szCs w:val="24"/>
        </w:rPr>
        <w:t xml:space="preserve">г. – </w:t>
      </w:r>
      <w:r w:rsidR="002649D9">
        <w:rPr>
          <w:rFonts w:ascii="Times New Roman" w:hAnsi="Times New Roman" w:cs="Times New Roman"/>
          <w:sz w:val="28"/>
          <w:szCs w:val="24"/>
        </w:rPr>
        <w:t>391,38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A86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Ввод объектов основных средств в эксплуатацию запланирован в сумме </w:t>
      </w:r>
      <w:r w:rsidR="002649D9">
        <w:rPr>
          <w:rFonts w:ascii="Times New Roman" w:hAnsi="Times New Roman" w:cs="Times New Roman"/>
          <w:sz w:val="28"/>
          <w:szCs w:val="24"/>
        </w:rPr>
        <w:t>1 115,64</w:t>
      </w:r>
      <w:r>
        <w:rPr>
          <w:rFonts w:ascii="Times New Roman" w:hAnsi="Times New Roman" w:cs="Times New Roman"/>
          <w:sz w:val="28"/>
          <w:szCs w:val="24"/>
        </w:rPr>
        <w:t xml:space="preserve"> млн руб. (без учета НДС), в т. ч. по периодам: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2649D9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>г. – 2</w:t>
      </w:r>
      <w:r w:rsidR="002649D9">
        <w:rPr>
          <w:rFonts w:ascii="Times New Roman" w:hAnsi="Times New Roman" w:cs="Times New Roman"/>
          <w:sz w:val="28"/>
          <w:szCs w:val="24"/>
        </w:rPr>
        <w:t>32,03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2649D9">
        <w:rPr>
          <w:rFonts w:ascii="Times New Roman" w:hAnsi="Times New Roman" w:cs="Times New Roman"/>
          <w:sz w:val="28"/>
          <w:szCs w:val="24"/>
        </w:rPr>
        <w:t>7г. – 269,03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2649D9"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г. – </w:t>
      </w:r>
      <w:r w:rsidR="002649D9">
        <w:rPr>
          <w:rFonts w:ascii="Times New Roman" w:hAnsi="Times New Roman" w:cs="Times New Roman"/>
          <w:sz w:val="28"/>
          <w:szCs w:val="24"/>
        </w:rPr>
        <w:t>293,78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2649D9">
        <w:rPr>
          <w:rFonts w:ascii="Times New Roman" w:hAnsi="Times New Roman" w:cs="Times New Roman"/>
          <w:sz w:val="28"/>
          <w:szCs w:val="24"/>
        </w:rPr>
        <w:t>9</w:t>
      </w:r>
      <w:r>
        <w:rPr>
          <w:rFonts w:ascii="Times New Roman" w:hAnsi="Times New Roman" w:cs="Times New Roman"/>
          <w:sz w:val="28"/>
          <w:szCs w:val="24"/>
        </w:rPr>
        <w:t>г. –</w:t>
      </w:r>
      <w:r w:rsidR="002649D9">
        <w:rPr>
          <w:rFonts w:ascii="Times New Roman" w:hAnsi="Times New Roman" w:cs="Times New Roman"/>
          <w:sz w:val="28"/>
          <w:szCs w:val="24"/>
        </w:rPr>
        <w:t xml:space="preserve"> 320,80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A86A2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</w:p>
    <w:p w:rsidR="00A86A23" w:rsidRDefault="00D42365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4"/>
        </w:rPr>
        <w:t>. Обоснование необходимости инвестиционных проектов</w:t>
      </w:r>
    </w:p>
    <w:p w:rsidR="00A86A23" w:rsidRDefault="00D42365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Оборудование многоквартирных жилых домов интеллектуальной системой учета – 1</w:t>
      </w:r>
      <w:r w:rsidR="002649D9">
        <w:rPr>
          <w:rFonts w:ascii="Times New Roman" w:hAnsi="Times New Roman" w:cs="Times New Roman"/>
          <w:b/>
          <w:sz w:val="28"/>
          <w:szCs w:val="24"/>
        </w:rPr>
        <w:t> 361,08</w:t>
      </w:r>
      <w:r>
        <w:rPr>
          <w:rFonts w:ascii="Times New Roman" w:hAnsi="Times New Roman" w:cs="Times New Roman"/>
          <w:b/>
          <w:sz w:val="28"/>
          <w:szCs w:val="24"/>
        </w:rPr>
        <w:t xml:space="preserve"> млн руб. </w:t>
      </w:r>
      <w:r w:rsidR="002649D9">
        <w:rPr>
          <w:rFonts w:ascii="Times New Roman" w:hAnsi="Times New Roman" w:cs="Times New Roman"/>
          <w:b/>
          <w:sz w:val="28"/>
          <w:szCs w:val="24"/>
        </w:rPr>
        <w:t>с</w:t>
      </w:r>
      <w:r w:rsidR="0091261E">
        <w:rPr>
          <w:rFonts w:ascii="Times New Roman" w:hAnsi="Times New Roman" w:cs="Times New Roman"/>
          <w:b/>
          <w:sz w:val="28"/>
          <w:szCs w:val="24"/>
        </w:rPr>
        <w:t xml:space="preserve"> НДС 22%</w:t>
      </w:r>
      <w:r>
        <w:rPr>
          <w:rFonts w:ascii="Times New Roman" w:hAnsi="Times New Roman" w:cs="Times New Roman"/>
          <w:b/>
          <w:sz w:val="28"/>
          <w:szCs w:val="24"/>
        </w:rPr>
        <w:t>, в т. ч.: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99093F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>г. – 2</w:t>
      </w:r>
      <w:r w:rsidR="0099093F">
        <w:rPr>
          <w:rFonts w:ascii="Times New Roman" w:hAnsi="Times New Roman" w:cs="Times New Roman"/>
          <w:sz w:val="28"/>
          <w:szCs w:val="24"/>
        </w:rPr>
        <w:t>83,08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99093F">
        <w:rPr>
          <w:rFonts w:ascii="Times New Roman" w:hAnsi="Times New Roman" w:cs="Times New Roman"/>
          <w:sz w:val="28"/>
          <w:szCs w:val="24"/>
        </w:rPr>
        <w:t>7г. – 328,22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99093F">
        <w:rPr>
          <w:rFonts w:ascii="Times New Roman" w:hAnsi="Times New Roman" w:cs="Times New Roman"/>
          <w:sz w:val="28"/>
          <w:szCs w:val="24"/>
        </w:rPr>
        <w:t>8г. – 358,41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D42365">
      <w:pPr>
        <w:pStyle w:val="af1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99093F">
        <w:rPr>
          <w:rFonts w:ascii="Times New Roman" w:hAnsi="Times New Roman" w:cs="Times New Roman"/>
          <w:sz w:val="28"/>
          <w:szCs w:val="24"/>
        </w:rPr>
        <w:t>9г. – 391,38</w:t>
      </w:r>
      <w:r>
        <w:rPr>
          <w:rFonts w:ascii="Times New Roman" w:hAnsi="Times New Roman" w:cs="Times New Roman"/>
          <w:sz w:val="28"/>
          <w:szCs w:val="24"/>
        </w:rPr>
        <w:t xml:space="preserve"> млн руб.</w:t>
      </w:r>
    </w:p>
    <w:p w:rsidR="00A86A23" w:rsidRDefault="00A86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Согласно ФЗ №522 от 27.12.2018г.  гарантирующие поставщики на территории Российской Федерации обязаны обеспечивать коммерческий учет электроэнергии (установку, допуск приборов учета электрической энергии) и их подключение к интеллектуальной системе учета электрической энергии в многоквартирных домах. </w:t>
      </w: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Развитие интеллектуальных систем учета электрической энергии одновременно решает несколько важных задач: повышение точности коммерческого учета электрической энергии, борьба с хищением электроэнергии, повышение прозрачности и доступности информации для абонентов о потребленной электроэнергии </w:t>
      </w: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Расходы гарантирующего поставщика, понесенные для исполнения обязательств по организации коммерческого учета в МКД, подлежат включению в состав сбытовой надбавки ГП.</w:t>
      </w:r>
    </w:p>
    <w:p w:rsidR="00A86A23" w:rsidRDefault="00D42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Программа по оснащению интеллектуальной системой учета включает следующие мероприятия:</w:t>
      </w:r>
    </w:p>
    <w:p w:rsidR="00A86A23" w:rsidRDefault="00D42365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Разработка проектной и рабочей документации на ИСУ</w:t>
      </w:r>
    </w:p>
    <w:p w:rsidR="00A86A23" w:rsidRDefault="00D42365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Поставка приборов учета и материалов</w:t>
      </w:r>
    </w:p>
    <w:p w:rsidR="00A86A23" w:rsidRDefault="00D42365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Монтаж приборов учета</w:t>
      </w: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Расчет расходов произведен исходя из количества приборов учета, которые необходимо установить в течении соответствующего года; учтены точки учета, в которых на данный момент прибор учета отсутствует или неисправен, а также приборы учета, у которых истекает срок поверки. За основу принято комплексное оснащение интеллектуальными ПУ наиболее эффективных для оснащения МКД. Тип приборов учёта </w:t>
      </w:r>
      <w:r w:rsidR="002C5283">
        <w:rPr>
          <w:rFonts w:ascii="Times New Roman" w:hAnsi="Times New Roman" w:cs="Times New Roman"/>
          <w:sz w:val="28"/>
          <w:szCs w:val="24"/>
        </w:rPr>
        <w:t>соответствует</w:t>
      </w:r>
      <w:r>
        <w:rPr>
          <w:rFonts w:ascii="Times New Roman" w:hAnsi="Times New Roman" w:cs="Times New Roman"/>
          <w:sz w:val="28"/>
          <w:szCs w:val="24"/>
        </w:rPr>
        <w:t xml:space="preserve"> правила</w:t>
      </w:r>
      <w:r w:rsidR="002C5283">
        <w:rPr>
          <w:rFonts w:ascii="Times New Roman" w:hAnsi="Times New Roman" w:cs="Times New Roman"/>
          <w:sz w:val="28"/>
          <w:szCs w:val="24"/>
        </w:rPr>
        <w:t>м</w:t>
      </w:r>
      <w:r>
        <w:rPr>
          <w:rFonts w:ascii="Times New Roman" w:hAnsi="Times New Roman" w:cs="Times New Roman"/>
          <w:sz w:val="28"/>
          <w:szCs w:val="24"/>
        </w:rPr>
        <w:t xml:space="preserve"> минимального функционала ИСУ, включающих, в том числе, почасовой учёт активной и реактивной энергии и мощности и устройство (реле) дистанционного ограничения. </w:t>
      </w:r>
    </w:p>
    <w:p w:rsidR="00265300" w:rsidRDefault="00D42365">
      <w:pPr>
        <w:pStyle w:val="af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настоящее время у филиала «Росатом Энергосбыт» Смоленск действует договор подряда на выполнение комплексных работ по созданию ИСУ в 2024-2026г. С целью оптимизации расходов по проекту «Оборудование многоквартирных жилых домов интеллектуальной системой учета» с исполнителем услуг по договору подряда на создание ИСУ</w:t>
      </w:r>
      <w:r w:rsidR="00265300">
        <w:rPr>
          <w:rFonts w:eastAsia="Times New Roman" w:cs="Times New Roman"/>
          <w:szCs w:val="28"/>
          <w:lang w:eastAsia="ru-RU"/>
        </w:rPr>
        <w:t xml:space="preserve"> в 2025 году</w:t>
      </w:r>
      <w:r>
        <w:rPr>
          <w:rFonts w:eastAsia="Times New Roman" w:cs="Times New Roman"/>
          <w:szCs w:val="28"/>
          <w:lang w:eastAsia="ru-RU"/>
        </w:rPr>
        <w:t xml:space="preserve"> были проведены переговоры по снижению стоимости приборов учета, используемых при создании системы учета. </w:t>
      </w:r>
    </w:p>
    <w:p w:rsidR="00A86A23" w:rsidRDefault="00D42365">
      <w:pPr>
        <w:pStyle w:val="af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результате были подписан</w:t>
      </w:r>
      <w:r w:rsidR="00CF6189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 xml:space="preserve"> дополнительн</w:t>
      </w:r>
      <w:r w:rsidR="00CF6189">
        <w:rPr>
          <w:rFonts w:eastAsia="Times New Roman" w:cs="Times New Roman"/>
          <w:szCs w:val="28"/>
          <w:lang w:eastAsia="ru-RU"/>
        </w:rPr>
        <w:t>ое</w:t>
      </w:r>
      <w:r>
        <w:rPr>
          <w:rFonts w:eastAsia="Times New Roman" w:cs="Times New Roman"/>
          <w:szCs w:val="28"/>
          <w:lang w:eastAsia="ru-RU"/>
        </w:rPr>
        <w:t xml:space="preserve"> соглашени</w:t>
      </w:r>
      <w:r w:rsidR="00CF6189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, в которых предусмотрено снижение цен на приборы учета и увеличение количества оборудования и работ по созданию ИСУ в пределах общей суммы заключенного договора. Это позвол</w:t>
      </w:r>
      <w:r w:rsidR="002C5283">
        <w:rPr>
          <w:rFonts w:eastAsia="Times New Roman" w:cs="Times New Roman"/>
          <w:szCs w:val="28"/>
          <w:lang w:eastAsia="ru-RU"/>
        </w:rPr>
        <w:t>яет</w:t>
      </w:r>
      <w:r>
        <w:rPr>
          <w:rFonts w:eastAsia="Times New Roman" w:cs="Times New Roman"/>
          <w:szCs w:val="28"/>
          <w:lang w:eastAsia="ru-RU"/>
        </w:rPr>
        <w:t xml:space="preserve"> увеличить количество оснащенных ИСУ многоквартирных домов без роста стоимости инвестиционной программы.</w:t>
      </w:r>
    </w:p>
    <w:p w:rsidR="00265300" w:rsidRDefault="00265300" w:rsidP="00265300">
      <w:pPr>
        <w:pStyle w:val="af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Также в связи с изменением ставки НДС на 22% с исполнителем услуг были проведены переговоры о том, что конечная цена на приборы учета и услуги не будет увеличена в связи с ростом суммы НДС. </w:t>
      </w:r>
      <w:r w:rsidR="00CF6189">
        <w:rPr>
          <w:rFonts w:eastAsia="Times New Roman" w:cs="Times New Roman"/>
          <w:szCs w:val="28"/>
          <w:lang w:eastAsia="ru-RU"/>
        </w:rPr>
        <w:t>Корректировка цен за счет НДС также была оформлена дополнительным соглашением.</w:t>
      </w:r>
    </w:p>
    <w:p w:rsidR="00A86A23" w:rsidRDefault="00D42365" w:rsidP="002C5283">
      <w:pPr>
        <w:pStyle w:val="af3"/>
        <w:rPr>
          <w:rFonts w:cs="Times New Roman"/>
        </w:rPr>
      </w:pPr>
      <w:r>
        <w:rPr>
          <w:rFonts w:eastAsia="Times New Roman" w:cs="Times New Roman"/>
          <w:szCs w:val="28"/>
          <w:lang w:eastAsia="ru-RU"/>
        </w:rPr>
        <w:t xml:space="preserve">Расходы по проекту «Оборудование многоквартирных жилых домов интеллектуальной системой учета» в инвестиционной программе учтены на основании доработанной программы по оснащению приборами учета электрической энергии (мощности) и договора подряда на выполнение комплексных работ по созданию интеллектуальных систем учета электроэнергии с учетом заключенных дополнительных соглашений. </w:t>
      </w:r>
      <w:r>
        <w:rPr>
          <w:rFonts w:cs="Times New Roman"/>
        </w:rPr>
        <w:t>На 2027-202</w:t>
      </w:r>
      <w:r w:rsidR="002C5283">
        <w:rPr>
          <w:rFonts w:cs="Times New Roman"/>
        </w:rPr>
        <w:t>9</w:t>
      </w:r>
      <w:r>
        <w:rPr>
          <w:rFonts w:cs="Times New Roman"/>
        </w:rPr>
        <w:t xml:space="preserve"> годы цены рассчитаны с учетом ожидаемого уровня инфляции.</w:t>
      </w:r>
    </w:p>
    <w:p w:rsidR="00235E27" w:rsidRPr="00235E27" w:rsidRDefault="009118A5" w:rsidP="00235E27">
      <w:pPr>
        <w:pStyle w:val="af3"/>
        <w:rPr>
          <w:rFonts w:cs="Times New Roman"/>
        </w:rPr>
      </w:pPr>
      <w:r>
        <w:rPr>
          <w:rFonts w:cs="Times New Roman"/>
        </w:rPr>
        <w:t>В плане на 2026 год также учтены расходы на приобретение и установку программного обеспечения для обеспечения криптографической защиты информации.</w:t>
      </w:r>
      <w:r w:rsidR="00235E27">
        <w:rPr>
          <w:rFonts w:cs="Times New Roman"/>
        </w:rPr>
        <w:t xml:space="preserve"> </w:t>
      </w:r>
      <w:r w:rsidR="00235E27" w:rsidRPr="00235E27">
        <w:rPr>
          <w:rFonts w:cs="Times New Roman"/>
        </w:rPr>
        <w:t>Дополнительные мероприятия по ИСУ обусловлены следующими факторами:</w:t>
      </w:r>
    </w:p>
    <w:p w:rsidR="00235E27" w:rsidRPr="00235E27" w:rsidRDefault="009311FB" w:rsidP="00235E27">
      <w:pPr>
        <w:pStyle w:val="af3"/>
        <w:rPr>
          <w:rFonts w:cs="Times New Roman"/>
        </w:rPr>
      </w:pPr>
      <w:r>
        <w:rPr>
          <w:rFonts w:cs="Times New Roman"/>
        </w:rPr>
        <w:t>Д</w:t>
      </w:r>
      <w:r w:rsidR="00235E27" w:rsidRPr="00235E27">
        <w:rPr>
          <w:rFonts w:cs="Times New Roman"/>
        </w:rPr>
        <w:t>о конца 2024 г</w:t>
      </w:r>
      <w:r w:rsidR="00235E27">
        <w:rPr>
          <w:rFonts w:cs="Times New Roman"/>
        </w:rPr>
        <w:t>ода</w:t>
      </w:r>
      <w:r w:rsidR="00235E27" w:rsidRPr="00235E27">
        <w:rPr>
          <w:rFonts w:cs="Times New Roman"/>
        </w:rPr>
        <w:t xml:space="preserve"> действовал мораторий на исполнение требований по шифрованию в части критической информационной инфраструктуры, Письмо </w:t>
      </w:r>
      <w:r w:rsidR="00235E27" w:rsidRPr="00235E27">
        <w:rPr>
          <w:rFonts w:cs="Times New Roman"/>
        </w:rPr>
        <w:lastRenderedPageBreak/>
        <w:t xml:space="preserve">Минэнерго РФ от 06.02.2024 № НШ-1769/07. С 2025 г. требования Постановления </w:t>
      </w:r>
      <w:r w:rsidR="008A42A8">
        <w:rPr>
          <w:rFonts w:cs="Times New Roman"/>
        </w:rPr>
        <w:t>«О порядке предоставления доступа к минимальному набору функций интеллектуальных систем учета электрической энергии (мощности) от 19.06.2020</w:t>
      </w:r>
      <w:r w:rsidR="000970EA">
        <w:rPr>
          <w:rFonts w:cs="Times New Roman"/>
        </w:rPr>
        <w:t>г.</w:t>
      </w:r>
      <w:r w:rsidR="008A42A8">
        <w:rPr>
          <w:rFonts w:cs="Times New Roman"/>
        </w:rPr>
        <w:t xml:space="preserve"> </w:t>
      </w:r>
      <w:r w:rsidR="00235E27" w:rsidRPr="00235E27">
        <w:rPr>
          <w:rFonts w:cs="Times New Roman"/>
        </w:rPr>
        <w:t>№ 890 подлежат обязательному применению.</w:t>
      </w:r>
    </w:p>
    <w:p w:rsidR="00235E27" w:rsidRPr="00235E27" w:rsidRDefault="00235E27" w:rsidP="00235E27">
      <w:pPr>
        <w:pStyle w:val="af3"/>
        <w:rPr>
          <w:rFonts w:cs="Times New Roman"/>
        </w:rPr>
      </w:pPr>
      <w:r>
        <w:rPr>
          <w:rFonts w:cs="Times New Roman"/>
        </w:rPr>
        <w:t xml:space="preserve">В течение </w:t>
      </w:r>
      <w:r w:rsidRPr="00235E27">
        <w:rPr>
          <w:rFonts w:cs="Times New Roman"/>
        </w:rPr>
        <w:t>2024-2025 г</w:t>
      </w:r>
      <w:r>
        <w:rPr>
          <w:rFonts w:cs="Times New Roman"/>
        </w:rPr>
        <w:t>одов</w:t>
      </w:r>
      <w:r w:rsidRPr="00235E27">
        <w:rPr>
          <w:rFonts w:cs="Times New Roman"/>
        </w:rPr>
        <w:t xml:space="preserve"> проведён анализ рыночных решений</w:t>
      </w:r>
      <w:r>
        <w:rPr>
          <w:rFonts w:cs="Times New Roman"/>
        </w:rPr>
        <w:t xml:space="preserve"> по обеспечению криптографической защиты. В </w:t>
      </w:r>
      <w:r w:rsidRPr="00235E27">
        <w:rPr>
          <w:rFonts w:cs="Times New Roman"/>
        </w:rPr>
        <w:t>2026 г</w:t>
      </w:r>
      <w:r>
        <w:rPr>
          <w:rFonts w:cs="Times New Roman"/>
        </w:rPr>
        <w:t>оду</w:t>
      </w:r>
      <w:r w:rsidRPr="00235E27">
        <w:rPr>
          <w:rFonts w:cs="Times New Roman"/>
        </w:rPr>
        <w:t xml:space="preserve"> завершены пилотные внедрения (Смоленск: </w:t>
      </w:r>
      <w:proofErr w:type="spellStart"/>
      <w:r w:rsidRPr="00235E27">
        <w:rPr>
          <w:rFonts w:cs="Times New Roman"/>
        </w:rPr>
        <w:t>ViPNet</w:t>
      </w:r>
      <w:proofErr w:type="spellEnd"/>
      <w:r w:rsidRPr="00235E27">
        <w:rPr>
          <w:rFonts w:cs="Times New Roman"/>
        </w:rPr>
        <w:t xml:space="preserve"> + «</w:t>
      </w:r>
      <w:proofErr w:type="spellStart"/>
      <w:r w:rsidRPr="00235E27">
        <w:rPr>
          <w:rFonts w:cs="Times New Roman"/>
        </w:rPr>
        <w:t>Нартис</w:t>
      </w:r>
      <w:proofErr w:type="spellEnd"/>
      <w:r w:rsidRPr="00235E27">
        <w:rPr>
          <w:rFonts w:cs="Times New Roman"/>
        </w:rPr>
        <w:t xml:space="preserve">», Курск: </w:t>
      </w:r>
      <w:proofErr w:type="spellStart"/>
      <w:r w:rsidRPr="00235E27">
        <w:rPr>
          <w:rFonts w:cs="Times New Roman"/>
        </w:rPr>
        <w:t>nGate</w:t>
      </w:r>
      <w:proofErr w:type="spellEnd"/>
      <w:r w:rsidRPr="00235E27">
        <w:rPr>
          <w:rFonts w:cs="Times New Roman"/>
        </w:rPr>
        <w:t xml:space="preserve"> + «</w:t>
      </w:r>
      <w:proofErr w:type="spellStart"/>
      <w:r w:rsidRPr="00235E27">
        <w:rPr>
          <w:rFonts w:cs="Times New Roman"/>
        </w:rPr>
        <w:t>Энергомера</w:t>
      </w:r>
      <w:proofErr w:type="spellEnd"/>
      <w:r w:rsidRPr="00235E27">
        <w:rPr>
          <w:rFonts w:cs="Times New Roman"/>
        </w:rPr>
        <w:t xml:space="preserve">»). </w:t>
      </w:r>
    </w:p>
    <w:p w:rsidR="00235E27" w:rsidRPr="00235E27" w:rsidRDefault="00235E27" w:rsidP="00235E27">
      <w:pPr>
        <w:pStyle w:val="af3"/>
        <w:rPr>
          <w:rFonts w:cs="Times New Roman"/>
        </w:rPr>
      </w:pPr>
      <w:r>
        <w:rPr>
          <w:rFonts w:cs="Times New Roman"/>
        </w:rPr>
        <w:t xml:space="preserve">При заключении </w:t>
      </w:r>
      <w:r w:rsidRPr="00235E27">
        <w:rPr>
          <w:rFonts w:cs="Times New Roman"/>
        </w:rPr>
        <w:t>нов</w:t>
      </w:r>
      <w:r>
        <w:rPr>
          <w:rFonts w:cs="Times New Roman"/>
        </w:rPr>
        <w:t>ого</w:t>
      </w:r>
      <w:r w:rsidRPr="00235E27">
        <w:rPr>
          <w:rFonts w:cs="Times New Roman"/>
        </w:rPr>
        <w:t xml:space="preserve"> трёхлетн</w:t>
      </w:r>
      <w:r>
        <w:rPr>
          <w:rFonts w:cs="Times New Roman"/>
        </w:rPr>
        <w:t>его</w:t>
      </w:r>
      <w:r w:rsidRPr="00235E27">
        <w:rPr>
          <w:rFonts w:cs="Times New Roman"/>
        </w:rPr>
        <w:t xml:space="preserve"> договор</w:t>
      </w:r>
      <w:r>
        <w:rPr>
          <w:rFonts w:cs="Times New Roman"/>
        </w:rPr>
        <w:t>а</w:t>
      </w:r>
      <w:r w:rsidRPr="00235E27">
        <w:rPr>
          <w:rFonts w:cs="Times New Roman"/>
        </w:rPr>
        <w:t xml:space="preserve"> на внедрение ИСУ </w:t>
      </w:r>
      <w:r w:rsidR="008A42A8">
        <w:rPr>
          <w:rFonts w:cs="Times New Roman"/>
        </w:rPr>
        <w:t xml:space="preserve">будет </w:t>
      </w:r>
      <w:r>
        <w:rPr>
          <w:rFonts w:cs="Times New Roman"/>
        </w:rPr>
        <w:t>предусмотрено</w:t>
      </w:r>
      <w:r w:rsidRPr="00235E27">
        <w:rPr>
          <w:rFonts w:cs="Times New Roman"/>
        </w:rPr>
        <w:t xml:space="preserve"> решение со встроенным шифрованием. Для его функционирования требуется заблаговременная подготовка инфраструктуры СКЗИ</w:t>
      </w:r>
      <w:r>
        <w:rPr>
          <w:rFonts w:cs="Times New Roman"/>
        </w:rPr>
        <w:t xml:space="preserve"> </w:t>
      </w:r>
      <w:r w:rsidRPr="00235E27">
        <w:rPr>
          <w:rFonts w:cs="Times New Roman"/>
        </w:rPr>
        <w:t>(Средства Криптографической Защиты Информации).</w:t>
      </w:r>
      <w:r>
        <w:rPr>
          <w:rFonts w:cs="Times New Roman"/>
        </w:rPr>
        <w:t xml:space="preserve"> </w:t>
      </w:r>
    </w:p>
    <w:p w:rsidR="009118A5" w:rsidRDefault="00235E27" w:rsidP="009118A5">
      <w:pPr>
        <w:pStyle w:val="af3"/>
        <w:rPr>
          <w:rFonts w:cs="Times New Roman"/>
        </w:rPr>
      </w:pPr>
      <w:r>
        <w:rPr>
          <w:rFonts w:cs="Times New Roman"/>
        </w:rPr>
        <w:t xml:space="preserve">Расчет расходов на 2026 год произведен на основании коммерческих предложений поставщиков программного обеспечения </w:t>
      </w:r>
      <w:proofErr w:type="spellStart"/>
      <w:r w:rsidRPr="00235E27">
        <w:rPr>
          <w:rFonts w:cs="Times New Roman"/>
        </w:rPr>
        <w:t>ViPNet</w:t>
      </w:r>
      <w:proofErr w:type="spellEnd"/>
      <w:r w:rsidR="00A9085E">
        <w:rPr>
          <w:rFonts w:cs="Times New Roman"/>
        </w:rPr>
        <w:t>.</w:t>
      </w:r>
    </w:p>
    <w:p w:rsidR="009118A5" w:rsidRPr="002C5283" w:rsidRDefault="009118A5" w:rsidP="002C5283">
      <w:pPr>
        <w:pStyle w:val="af3"/>
        <w:rPr>
          <w:rFonts w:eastAsia="Times New Roman" w:cs="Times New Roman"/>
          <w:szCs w:val="28"/>
          <w:lang w:eastAsia="ru-RU"/>
        </w:rPr>
      </w:pP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Приложения: </w:t>
      </w: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>
        <w:rPr>
          <w:rFonts w:ascii="Times New Roman" w:hAnsi="Times New Roman" w:cs="Times New Roman"/>
          <w:sz w:val="28"/>
          <w:szCs w:val="24"/>
          <w:lang w:val="en-US"/>
        </w:rPr>
        <w:t>N</w:t>
      </w:r>
      <w:r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  <w:lang w:val="en-US"/>
        </w:rPr>
        <w:t>S</w:t>
      </w:r>
      <w:r>
        <w:rPr>
          <w:rFonts w:ascii="Times New Roman" w:hAnsi="Times New Roman" w:cs="Times New Roman"/>
          <w:sz w:val="28"/>
          <w:szCs w:val="24"/>
        </w:rPr>
        <w:t>01.</w:t>
      </w:r>
    </w:p>
    <w:p w:rsidR="00A86A23" w:rsidRDefault="00D4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Плановая программа по оснащению приборами учета электрической энергии (мощности) в рамках инвестиционной программы. </w:t>
      </w:r>
    </w:p>
    <w:p w:rsidR="00A86A23" w:rsidRDefault="00D42365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Договор подряда</w:t>
      </w:r>
      <w:r w:rsidR="001F49EC">
        <w:rPr>
          <w:rFonts w:ascii="Times New Roman" w:hAnsi="Times New Roman" w:cs="Times New Roman"/>
          <w:sz w:val="28"/>
          <w:szCs w:val="24"/>
        </w:rPr>
        <w:t xml:space="preserve"> на выполнение комплексных работ по созданию ИСУ в 2024-2026г.</w:t>
      </w:r>
      <w:r>
        <w:rPr>
          <w:rFonts w:ascii="Times New Roman" w:hAnsi="Times New Roman" w:cs="Times New Roman"/>
          <w:sz w:val="28"/>
          <w:szCs w:val="24"/>
        </w:rPr>
        <w:t xml:space="preserve"> № 2010591300/СМ/173.24 от 08.05.2024г.</w:t>
      </w:r>
    </w:p>
    <w:p w:rsidR="00A86A23" w:rsidRDefault="00D42365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Дополнительное соглашение №</w:t>
      </w:r>
      <w:r w:rsidR="00EB371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 от 26.06.2025г.</w:t>
      </w:r>
    </w:p>
    <w:p w:rsidR="00EB371E" w:rsidRDefault="00EB371E" w:rsidP="00EB371E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Дополнительное соглашение № 2 от 08.12.2025г.</w:t>
      </w:r>
    </w:p>
    <w:p w:rsidR="00EB371E" w:rsidRDefault="00EB371E" w:rsidP="00EB371E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Дополнительное соглашение № 3 от 25.12.2025г.</w:t>
      </w:r>
    </w:p>
    <w:p w:rsidR="00E5410D" w:rsidRDefault="00E5410D" w:rsidP="00EB371E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5410D">
        <w:rPr>
          <w:rFonts w:ascii="Times New Roman" w:hAnsi="Times New Roman" w:cs="Times New Roman"/>
          <w:sz w:val="28"/>
          <w:szCs w:val="24"/>
        </w:rPr>
        <w:t xml:space="preserve">Расчет расходов на </w:t>
      </w:r>
      <w:r w:rsidR="00BE4E92">
        <w:rPr>
          <w:rFonts w:ascii="Times New Roman" w:hAnsi="Times New Roman" w:cs="Times New Roman"/>
          <w:sz w:val="28"/>
          <w:szCs w:val="24"/>
        </w:rPr>
        <w:t>обеспечение</w:t>
      </w:r>
      <w:bookmarkStart w:id="0" w:name="_GoBack"/>
      <w:bookmarkEnd w:id="0"/>
      <w:r w:rsidRPr="00E5410D">
        <w:rPr>
          <w:rFonts w:ascii="Times New Roman" w:hAnsi="Times New Roman" w:cs="Times New Roman"/>
          <w:sz w:val="28"/>
          <w:szCs w:val="24"/>
        </w:rPr>
        <w:t xml:space="preserve"> криптографической защиты информации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E5410D" w:rsidRPr="00E5410D" w:rsidRDefault="00E5410D" w:rsidP="00E5410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5410D">
        <w:rPr>
          <w:rFonts w:ascii="Times New Roman" w:hAnsi="Times New Roman" w:cs="Times New Roman"/>
          <w:sz w:val="28"/>
          <w:szCs w:val="24"/>
        </w:rPr>
        <w:t>Коммерче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E5410D">
        <w:rPr>
          <w:rFonts w:ascii="Times New Roman" w:hAnsi="Times New Roman" w:cs="Times New Roman"/>
          <w:sz w:val="28"/>
          <w:szCs w:val="24"/>
        </w:rPr>
        <w:t>кое предложение АО НИП "ИНФОРМЗАЩИТА" № 632/26 от 27.03.2026</w:t>
      </w:r>
      <w:r w:rsidR="000970EA">
        <w:rPr>
          <w:rFonts w:ascii="Times New Roman" w:hAnsi="Times New Roman" w:cs="Times New Roman"/>
          <w:sz w:val="28"/>
          <w:szCs w:val="24"/>
        </w:rPr>
        <w:t>г.</w:t>
      </w:r>
    </w:p>
    <w:p w:rsidR="00EB371E" w:rsidRDefault="00E5410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5410D">
        <w:rPr>
          <w:rFonts w:ascii="Times New Roman" w:hAnsi="Times New Roman" w:cs="Times New Roman"/>
          <w:sz w:val="28"/>
          <w:szCs w:val="24"/>
        </w:rPr>
        <w:t>Коммерче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E5410D">
        <w:rPr>
          <w:rFonts w:ascii="Times New Roman" w:hAnsi="Times New Roman" w:cs="Times New Roman"/>
          <w:sz w:val="28"/>
          <w:szCs w:val="24"/>
        </w:rPr>
        <w:t>кое предложение ООО "</w:t>
      </w:r>
      <w:proofErr w:type="spellStart"/>
      <w:r w:rsidRPr="00E5410D">
        <w:rPr>
          <w:rFonts w:ascii="Times New Roman" w:hAnsi="Times New Roman" w:cs="Times New Roman"/>
          <w:sz w:val="28"/>
          <w:szCs w:val="24"/>
        </w:rPr>
        <w:t>Визум</w:t>
      </w:r>
      <w:proofErr w:type="spellEnd"/>
      <w:r w:rsidRPr="00E5410D">
        <w:rPr>
          <w:rFonts w:ascii="Times New Roman" w:hAnsi="Times New Roman" w:cs="Times New Roman"/>
          <w:sz w:val="28"/>
          <w:szCs w:val="24"/>
        </w:rPr>
        <w:t>" № МИ-2320 от 30.03.2026</w:t>
      </w:r>
      <w:r w:rsidR="000970EA">
        <w:rPr>
          <w:rFonts w:ascii="Times New Roman" w:hAnsi="Times New Roman" w:cs="Times New Roman"/>
          <w:sz w:val="28"/>
          <w:szCs w:val="24"/>
        </w:rPr>
        <w:t>г.</w:t>
      </w:r>
    </w:p>
    <w:p w:rsidR="00EB371E" w:rsidRPr="00E5410D" w:rsidRDefault="00E5410D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5410D">
        <w:rPr>
          <w:rFonts w:ascii="Times New Roman" w:hAnsi="Times New Roman" w:cs="Times New Roman"/>
          <w:sz w:val="28"/>
          <w:szCs w:val="24"/>
        </w:rPr>
        <w:t>Коммерческое предложение ООО "ИЦБ" № 1-26.3 от 26.03.2026</w:t>
      </w:r>
      <w:r w:rsidR="000970EA">
        <w:rPr>
          <w:rFonts w:ascii="Times New Roman" w:hAnsi="Times New Roman" w:cs="Times New Roman"/>
          <w:sz w:val="28"/>
          <w:szCs w:val="24"/>
        </w:rPr>
        <w:t>г.</w:t>
      </w:r>
    </w:p>
    <w:p w:rsidR="00A86A23" w:rsidRDefault="00A86A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86A23" w:rsidRDefault="00A86A23">
      <w:pPr>
        <w:pStyle w:val="af3"/>
        <w:rPr>
          <w:rFonts w:cs="Times New Roman"/>
          <w:color w:val="C9211E"/>
        </w:rPr>
      </w:pPr>
    </w:p>
    <w:p w:rsidR="00A86A23" w:rsidRDefault="00A86A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86A23" w:rsidRDefault="007355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/>
          <w:noProof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D926CC8" wp14:editId="75641F80">
            <wp:simplePos x="0" y="0"/>
            <wp:positionH relativeFrom="column">
              <wp:posOffset>2781300</wp:posOffset>
            </wp:positionH>
            <wp:positionV relativeFrom="paragraph">
              <wp:posOffset>8890</wp:posOffset>
            </wp:positionV>
            <wp:extent cx="1388110" cy="784860"/>
            <wp:effectExtent l="0" t="0" r="0" b="0"/>
            <wp:wrapNone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6A23" w:rsidRDefault="00D42365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Заместитель директора филиала                                            </w:t>
      </w:r>
    </w:p>
    <w:p w:rsidR="00A86A23" w:rsidRDefault="00D42365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 экономике и финансам                 </w:t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>А.В. Школьников</w:t>
      </w:r>
    </w:p>
    <w:sectPr w:rsidR="00A86A23">
      <w:pgSz w:w="11906" w:h="16838"/>
      <w:pgMar w:top="765" w:right="850" w:bottom="567" w:left="1134" w:header="0" w:footer="0" w:gutter="0"/>
      <w:pgNumType w:start="2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F58B0"/>
    <w:multiLevelType w:val="multilevel"/>
    <w:tmpl w:val="3ACADF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9A4469"/>
    <w:multiLevelType w:val="multilevel"/>
    <w:tmpl w:val="477266C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3F1A0520"/>
    <w:multiLevelType w:val="hybridMultilevel"/>
    <w:tmpl w:val="AD7E6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23"/>
    <w:rsid w:val="00071650"/>
    <w:rsid w:val="000970EA"/>
    <w:rsid w:val="000E31AD"/>
    <w:rsid w:val="001F49EC"/>
    <w:rsid w:val="00235E27"/>
    <w:rsid w:val="002649D9"/>
    <w:rsid w:val="00265300"/>
    <w:rsid w:val="002C5283"/>
    <w:rsid w:val="002C7BB6"/>
    <w:rsid w:val="00361EA4"/>
    <w:rsid w:val="005A78AE"/>
    <w:rsid w:val="0073557B"/>
    <w:rsid w:val="00777D4A"/>
    <w:rsid w:val="007B2904"/>
    <w:rsid w:val="008A42A8"/>
    <w:rsid w:val="009118A5"/>
    <w:rsid w:val="0091261E"/>
    <w:rsid w:val="009311FB"/>
    <w:rsid w:val="0099093F"/>
    <w:rsid w:val="00A86A23"/>
    <w:rsid w:val="00A9085E"/>
    <w:rsid w:val="00BE4E92"/>
    <w:rsid w:val="00C42F1B"/>
    <w:rsid w:val="00C7728A"/>
    <w:rsid w:val="00CF6189"/>
    <w:rsid w:val="00D42365"/>
    <w:rsid w:val="00D450D5"/>
    <w:rsid w:val="00E12B48"/>
    <w:rsid w:val="00E5410D"/>
    <w:rsid w:val="00EB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2C8D2-D895-4231-98A6-07E66148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2587C"/>
  </w:style>
  <w:style w:type="character" w:customStyle="1" w:styleId="a5">
    <w:name w:val="Нижний колонтитул Знак"/>
    <w:basedOn w:val="a0"/>
    <w:link w:val="a6"/>
    <w:uiPriority w:val="99"/>
    <w:qFormat/>
    <w:rsid w:val="0092587C"/>
  </w:style>
  <w:style w:type="character" w:styleId="a7">
    <w:name w:val="Hyperlink"/>
    <w:basedOn w:val="a0"/>
    <w:uiPriority w:val="99"/>
    <w:unhideWhenUsed/>
    <w:rsid w:val="00126E35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C44D72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C44D72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C44D72"/>
    <w:rPr>
      <w:b/>
      <w:bCs/>
      <w:sz w:val="20"/>
      <w:szCs w:val="20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C44D72"/>
    <w:rPr>
      <w:rFonts w:ascii="Tahoma" w:hAnsi="Tahoma" w:cs="Tahoma"/>
      <w:sz w:val="16"/>
      <w:szCs w:val="16"/>
    </w:rPr>
  </w:style>
  <w:style w:type="character" w:styleId="af">
    <w:name w:val="Subtle Emphasis"/>
    <w:basedOn w:val="a0"/>
    <w:uiPriority w:val="19"/>
    <w:qFormat/>
    <w:rsid w:val="00207563"/>
    <w:rPr>
      <w:i/>
      <w:iCs/>
      <w:color w:val="404040" w:themeColor="text1" w:themeTint="BF"/>
    </w:rPr>
  </w:style>
  <w:style w:type="character" w:customStyle="1" w:styleId="af0">
    <w:name w:val="Абзац списка Знак"/>
    <w:basedOn w:val="a0"/>
    <w:link w:val="af1"/>
    <w:qFormat/>
    <w:rsid w:val="00817C96"/>
  </w:style>
  <w:style w:type="character" w:customStyle="1" w:styleId="af2">
    <w:name w:val="Текст документа Знак"/>
    <w:basedOn w:val="a0"/>
    <w:link w:val="af3"/>
    <w:qFormat/>
    <w:rsid w:val="001E674A"/>
    <w:rPr>
      <w:rFonts w:ascii="Times New Roman" w:hAnsi="Times New Roman"/>
      <w:sz w:val="28"/>
      <w:szCs w:val="24"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ascii="PT Astra Serif" w:hAnsi="PT Astra Serif" w:cs="Noto Sans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List Paragraph"/>
    <w:basedOn w:val="a"/>
    <w:link w:val="af0"/>
    <w:qFormat/>
    <w:rsid w:val="00FF3957"/>
    <w:pPr>
      <w:ind w:left="720"/>
      <w:contextualSpacing/>
    </w:pPr>
  </w:style>
  <w:style w:type="paragraph" w:customStyle="1" w:styleId="af9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annotation text"/>
    <w:basedOn w:val="a"/>
    <w:link w:val="a9"/>
    <w:uiPriority w:val="99"/>
    <w:semiHidden/>
    <w:unhideWhenUsed/>
    <w:qFormat/>
    <w:rsid w:val="00C44D72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C44D72"/>
    <w:rPr>
      <w:b/>
      <w:bCs/>
    </w:rPr>
  </w:style>
  <w:style w:type="paragraph" w:styleId="ae">
    <w:name w:val="Balloon Text"/>
    <w:basedOn w:val="a"/>
    <w:link w:val="ad"/>
    <w:uiPriority w:val="99"/>
    <w:semiHidden/>
    <w:unhideWhenUsed/>
    <w:qFormat/>
    <w:rsid w:val="00C44D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3">
    <w:name w:val="Текст документа"/>
    <w:basedOn w:val="a"/>
    <w:link w:val="af2"/>
    <w:qFormat/>
    <w:rsid w:val="001E674A"/>
    <w:pPr>
      <w:suppressAutoHyphens w:val="0"/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table" w:styleId="afa">
    <w:name w:val="Table Grid"/>
    <w:basedOn w:val="a1"/>
    <w:uiPriority w:val="39"/>
    <w:rsid w:val="00027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3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D268B-6086-4A6C-AD71-729DBC7A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Павлова Светлана Анатольевна</cp:lastModifiedBy>
  <cp:revision>15</cp:revision>
  <cp:lastPrinted>2018-04-10T15:20:00Z</cp:lastPrinted>
  <dcterms:created xsi:type="dcterms:W3CDTF">2026-03-17T11:32:00Z</dcterms:created>
  <dcterms:modified xsi:type="dcterms:W3CDTF">2026-04-03T13:19:00Z</dcterms:modified>
  <dc:language>ru-RU</dc:language>
</cp:coreProperties>
</file>